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Sehr geehrte Damen und Herren!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"Hiermit erstatte ich Strafanzeige gegen den Bundespr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sidenten Dr. Frank-Walter Steinmeier wegen eines vermuteten Versto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es gegen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 xml:space="preserve">§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20a (Strafvorschriften gegen Antipersonenminen und Streumunition), Abs. 1, Nummer 3 in Verbindung mit Nummer 1 Kriegswaffenkontrollgesetz.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Hiernach gilt: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</w:pP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(1) Mit Freiheitsstrafe von einem Jahr bis zu f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nf Jahren wird bestraft, wer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</w:pP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 xml:space="preserve">1. entgegen 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 xml:space="preserve">§ 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 xml:space="preserve">18a Antipersonenminen oder Streumunition einsetzt, entwickelt, herstellt, mit ihnen Handel treibt, von einem anderen erwirbt oder einem anderen 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berl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äß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t, einf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hrt, ausf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hrt, durch das Bundesgebiet durchf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hrt oder sonst in das Bundesgebiet oder aus dem Bundesgebiet verbringt oder sonst die tats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ä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 xml:space="preserve">chliche Gewalt 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ber sie aus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bt, insbesondere sie transportiert, lagert oder zur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ü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ckbeh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ä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lt,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</w:pP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2. einen anderen zu einer in Nummer 1 bezeichneten Handlung verleitet oder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</w:pPr>
      <w:r>
        <w:rPr>
          <w:outline w:val="0"/>
          <w:color w:val="000000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000000">
                <w14:alpha w14:val="34902"/>
              </w14:srgbClr>
            </w14:solidFill>
          </w14:textFill>
        </w:rPr>
        <w:t>3. eine in Nummer 1 bezeichnete Handlung f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000000">
                <w14:alpha w14:val="34902"/>
              </w14:srgbClr>
            </w14:solidFill>
          </w14:textFill>
        </w:rPr>
        <w:t>ö</w:t>
      </w:r>
      <w:r>
        <w:rPr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>
                <w14:alpha w14:val="34902"/>
              </w14:srgbClr>
            </w14:solidFill>
          </w14:textFill>
        </w:rPr>
        <w:t>rdert.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Dr. Steinmeier hat im breit ver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ffentlichten "</w:t>
      </w:r>
      <w:r>
        <w:rPr>
          <w:i w:val="1"/>
          <w:iCs w:val="1"/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Sommerinterview des ZDF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" am 9. Juli 2023 im Hinblick auf die US-Entscheidung, Streumunition an die Ukraine zu liefern, erkl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a-DK"/>
          <w14:textFill>
            <w14:solidFill>
              <w14:srgbClr w14:val="1B1B1B"/>
            </w14:solidFill>
          </w14:textFill>
        </w:rPr>
        <w:t>rt, man k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nne "in der gegenw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rtigen Situation den USA nicht in den Arm fallen".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Tipps zum Zusammenbau eines Kompakt-PC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Mit dieser Bemerkung hat er meiner Meinung nach die "Durchf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hrung von Streumunition durch das Bundesgebiet", n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mlich den Transport von US-Streumunition, gef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rdert.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Mit seiner Bemerkung werden aus meiner Sicht Amtstr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ger beim Zoll, bei der Polizei und im Rechtswesen, die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r die Einhaltung der Bestimmungen des Kriegswaffenkontrollgesetzes aus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 xml:space="preserve">§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18a und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 xml:space="preserve">§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20a zu sorgen haben, dazu aufgerufen, die USA ungehindert gew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hren zu lassen, also auch nicht nachzufragen und wegzuschauen, wenn sie illegal Streumunition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die Ukraine durch das Bundesgebiet (nach Polen und dann zur Ukraine) transportieren oder transportieren wollen.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Dieser Transportweg ist keine blo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 Mutma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ung. Deutschland hat in mehreren Man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vern, z.B. bei Defender 2020 und zuletzt in besonderem Ma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 bei Defender 2023 gezeigt, dass es in jeder Hinsicht als Transitland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Waffentransporte geeignet ist.</w:t>
      </w:r>
    </w:p>
    <w:p>
      <w:pPr>
        <w:pStyle w:val="Standard"/>
        <w:bidi w:val="0"/>
        <w:spacing w:before="0" w:after="450" w:line="240" w:lineRule="auto"/>
        <w:ind w:left="0" w:right="0" w:firstLine="0"/>
        <w:jc w:val="left"/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Streubomben: D</w:t>
      </w:r>
      <w:r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rfen europ</w:t>
      </w:r>
      <w:r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b w:val="1"/>
          <w:bCs w:val="1"/>
          <w:outline w:val="0"/>
          <w:color w:val="1a1a1a"/>
          <w:sz w:val="45"/>
          <w:szCs w:val="45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ische Verkehrswege genutzt werden?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Es sind zahlreiche weitere europ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ische Staaten der Konvention gegen Streumunition beigetreten. Mit den Unterzeichnerstaaten D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nemark, Schweden und Norwegen d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rfte die Passage zur Ostsee (und somit nach Polen) rechtlich verwehrt sein, ebenso der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berflug. Im S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den grenzt nur Rum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nien als Nicht-Unterzeichnerstaat an die Ukraine.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b w:val="1"/>
          <w:bCs w:val="1"/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Lese-Tipp: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 xml:space="preserve"> </w:t>
      </w:r>
      <w:r>
        <w:rPr>
          <w:rStyle w:val="Hyperlink.0"/>
          <w:outline w:val="0"/>
          <w:color w:val="406dd2"/>
          <w:sz w:val="36"/>
          <w:szCs w:val="36"/>
          <w:shd w:val="clear" w:color="auto" w:fill="ffffff"/>
          <w:rtl w:val="0"/>
          <w14:textFill>
            <w14:solidFill>
              <w14:srgbClr w14:val="416ED2"/>
            </w14:solidFill>
          </w14:textFill>
        </w:rPr>
        <w:fldChar w:fldCharType="begin" w:fldLock="0"/>
      </w:r>
      <w:r>
        <w:rPr>
          <w:rStyle w:val="Hyperlink.0"/>
          <w:outline w:val="0"/>
          <w:color w:val="406dd2"/>
          <w:sz w:val="36"/>
          <w:szCs w:val="36"/>
          <w:shd w:val="clear" w:color="auto" w:fill="ffffff"/>
          <w:rtl w:val="0"/>
          <w14:textFill>
            <w14:solidFill>
              <w14:srgbClr w14:val="416ED2"/>
            </w14:solidFill>
          </w14:textFill>
        </w:rPr>
        <w:instrText xml:space="preserve"> HYPERLINK "https://telepolis.de/-9213291"</w:instrText>
      </w:r>
      <w:r>
        <w:rPr>
          <w:rStyle w:val="Hyperlink.0"/>
          <w:outline w:val="0"/>
          <w:color w:val="406dd2"/>
          <w:sz w:val="36"/>
          <w:szCs w:val="36"/>
          <w:shd w:val="clear" w:color="auto" w:fill="ffffff"/>
          <w:rtl w:val="0"/>
          <w14:textFill>
            <w14:solidFill>
              <w14:srgbClr w14:val="416ED2"/>
            </w14:solidFill>
          </w14:textFill>
        </w:rPr>
        <w:fldChar w:fldCharType="separate" w:fldLock="0"/>
      </w:r>
      <w:r>
        <w:rPr>
          <w:rStyle w:val="Hyperlink.0"/>
          <w:outline w:val="0"/>
          <w:color w:val="406dd2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416ED2"/>
            </w14:solidFill>
          </w14:textFill>
        </w:rPr>
        <w:t>Steinmeier zur Streumunition: Was interessiert ihn seine Moral von gestern?</w:t>
      </w:r>
      <w:r>
        <w:rPr>
          <w:outline w:val="0"/>
          <w:color w:val="406dd2"/>
          <w:sz w:val="36"/>
          <w:szCs w:val="36"/>
          <w:shd w:val="clear" w:color="auto" w:fill="ffffff"/>
          <w:rtl w:val="0"/>
          <w14:textFill>
            <w14:solidFill>
              <w14:srgbClr w14:val="416ED2"/>
            </w14:solidFill>
          </w14:textFill>
        </w:rPr>
        <w:fldChar w:fldCharType="end" w:fldLock="0"/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Bulgarien und Ungarn haben unterzeichnet. Ein Schiffstransport von Streumunition durch den Bosporus d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rfte wegen des Vertrags von Montrieux verwehrt sein.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Ob die 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rkei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berflugrechte zum Lufttransport nach Rum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nien gew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hrt, d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rfte mehr als fraglich sein, auch wenn sie die Konvention nicht unterzeichnet hat.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Es ist daher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die USA von gr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öß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tem Interesse, die der Ukraine zugesagte Streumunition baldm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glichst, unhinterfragt und ohne rechtliche Hindernisse durch das deutsche Bundesgebiet nach Polen und von dort zur Ukraine transportieren zu k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nnen.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Dr. Steinmeiers Bemerkung muss als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ffentliche Mahnung angesehen werden, den USA entgegen dem deutschen Kriegswaffenkontrollgesetz keine rechtlichen Hindernisse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den Transport von Streumunition durch das Bundesgebiet in den Weg zu legen.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Dies auch im Gegensatz zu Artikel II Absatz 1 des Abkommens vom 19. Juni 1951 zwischen den Parteien des Nordatlantikvertrags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ber die Rechtsstellung ihrer Truppen (Nato-Truppenstatut), welcher die Entsendestaaten verpflichtet, das Recht des Aufnahmestaates, also das deutsche Kriegswaffenkontrollgesetz zu achten.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Dr. Steinmeier ist rechtlich zu gut beschlagen und beraten, als dass ich seine Bemerkung als fahrl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ssigen Ausrutscher werten k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nnte, sondern ich muss sie als bewusst vorgebracht ansehen, um den Transport von US-Streumunition durch das Bundesgebiet zu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rdern, zumal Dr. Steinmeier auch bemerkte, dass die Ukraine diese Waffen ben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tige.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Gem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äß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Artikel 59 Grundgesetz vertritt der Bundespr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sident "den Bund v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lkerrechtlich"., d.h. er ist unter anderem vollst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ndig an die 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den Bund geltenden v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lkerrechtlichen Bestimmungen gebunden.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Dazu geh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rt auch das Abkommen zur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chtung von Streumunition, das vom Bundestag als "Gesetz zu dem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bereinkommen vom 30. Mai 2008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ber Streumunition" beschlossen wurde (Bundesgesetzblatt Jahrgang 2009, Teil II, Nr. 17 ) und die Ratifikation des Abkommens durch die Bundesrepublik Deutschland abschloss.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Die Ratifikationsurkunde ist (neben denen weiterer 110 Staaten) gem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äß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Abkommen bei den Vereinten Nationen hinterlegt als Ausweis gegen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ber diesen Nationen und dem Generalsekret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 der Vereinten Nationen daf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r, dass Deutschland als Rechtsstaat im Innern die Regeln dieses Abkommens zum Humanit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ren V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ö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lkerrecht ohne Wenn und Aber umsetzen wird, wie es in der Gesetzverk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ndung vom 6. Juni 2009 vorgesehen ist.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Ein Vorbehalt, dass man gegebenenfalls den USA "nicht in den Arm fallen" d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ü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rfe, ist darin nicht niedergeschrieben.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Dr. Steinmeiers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sv-SE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u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ß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erung ist meiner Meinung nach auch unter diesem Gesichtspunkt ein Versto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ß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 xml:space="preserve">gegen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 xml:space="preserve">§ 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20a, Abs (1), Nummer 3 in Verbindung mit Nummer 1 Kriegswaffenkontrollgesetz.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Ich bitte Sie daher, im Sinne dieser Strafanzeige zu ermitteln. Sollten Sie nicht zust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ndig sein, so bitte ich Sie, die Anzeige an die zust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ndige Stelle weiterzuleiten.</w:t>
      </w:r>
    </w:p>
    <w:p>
      <w:pPr>
        <w:pStyle w:val="Standard"/>
        <w:bidi w:val="0"/>
        <w:spacing w:before="0" w:after="36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Ich bitte Sie, mir den Eingang zu best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14:textFill>
            <w14:solidFill>
              <w14:srgbClr w14:val="1B1B1B"/>
            </w14:solidFill>
          </w14:textFill>
        </w:rPr>
        <w:t>ä</w:t>
      </w:r>
      <w:r>
        <w:rPr>
          <w:outline w:val="0"/>
          <w:color w:val="1a1a1a"/>
          <w:sz w:val="36"/>
          <w:szCs w:val="36"/>
          <w:shd w:val="clear" w:color="auto" w:fill="ffffff"/>
          <w:rtl w:val="0"/>
          <w:lang w:val="de-DE"/>
          <w14:textFill>
            <w14:solidFill>
              <w14:srgbClr w14:val="1B1B1B"/>
            </w14:solidFill>
          </w14:textFill>
        </w:rPr>
        <w:t>tigen und mir das Aktenzeichen mitzuteilen.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